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C286" w14:textId="77777777" w:rsidR="001438A4" w:rsidRDefault="001438A4" w:rsidP="001438A4">
      <w:pPr>
        <w:tabs>
          <w:tab w:val="left" w:pos="2171"/>
        </w:tabs>
        <w:spacing w:before="72"/>
        <w:ind w:right="10"/>
        <w:jc w:val="center"/>
        <w:rPr>
          <w:sz w:val="36"/>
        </w:rPr>
      </w:pPr>
      <w:r>
        <w:rPr>
          <w:sz w:val="36"/>
          <w:u w:val="single"/>
        </w:rPr>
        <w:t>Č E</w:t>
      </w:r>
      <w:r>
        <w:rPr>
          <w:spacing w:val="1"/>
          <w:sz w:val="36"/>
          <w:u w:val="single"/>
        </w:rPr>
        <w:t xml:space="preserve"> </w:t>
      </w:r>
      <w:r>
        <w:rPr>
          <w:sz w:val="36"/>
          <w:u w:val="single"/>
        </w:rPr>
        <w:t>S</w:t>
      </w:r>
      <w:r>
        <w:rPr>
          <w:spacing w:val="-2"/>
          <w:sz w:val="36"/>
          <w:u w:val="single"/>
        </w:rPr>
        <w:t xml:space="preserve"> </w:t>
      </w:r>
      <w:r>
        <w:rPr>
          <w:sz w:val="36"/>
          <w:u w:val="single"/>
        </w:rPr>
        <w:t>T</w:t>
      </w:r>
      <w:r>
        <w:rPr>
          <w:spacing w:val="1"/>
          <w:sz w:val="36"/>
          <w:u w:val="single"/>
        </w:rPr>
        <w:t xml:space="preserve"> </w:t>
      </w:r>
      <w:r>
        <w:rPr>
          <w:sz w:val="36"/>
          <w:u w:val="single"/>
        </w:rPr>
        <w:t>N</w:t>
      </w:r>
      <w:r>
        <w:rPr>
          <w:spacing w:val="-2"/>
          <w:sz w:val="36"/>
          <w:u w:val="single"/>
        </w:rPr>
        <w:t xml:space="preserve"> </w:t>
      </w:r>
      <w:r>
        <w:rPr>
          <w:spacing w:val="-10"/>
          <w:sz w:val="36"/>
          <w:u w:val="single"/>
        </w:rPr>
        <w:t>É</w:t>
      </w:r>
      <w:r>
        <w:rPr>
          <w:sz w:val="36"/>
          <w:u w:val="single"/>
        </w:rPr>
        <w:tab/>
        <w:t>P R O</w:t>
      </w:r>
      <w:r>
        <w:rPr>
          <w:spacing w:val="-1"/>
          <w:sz w:val="36"/>
          <w:u w:val="single"/>
        </w:rPr>
        <w:t xml:space="preserve"> </w:t>
      </w:r>
      <w:r>
        <w:rPr>
          <w:sz w:val="36"/>
          <w:u w:val="single"/>
        </w:rPr>
        <w:t>H</w:t>
      </w:r>
      <w:r>
        <w:rPr>
          <w:spacing w:val="-2"/>
          <w:sz w:val="36"/>
          <w:u w:val="single"/>
        </w:rPr>
        <w:t xml:space="preserve"> </w:t>
      </w:r>
      <w:r>
        <w:rPr>
          <w:sz w:val="36"/>
          <w:u w:val="single"/>
        </w:rPr>
        <w:t>L</w:t>
      </w:r>
      <w:r>
        <w:rPr>
          <w:spacing w:val="1"/>
          <w:sz w:val="36"/>
          <w:u w:val="single"/>
        </w:rPr>
        <w:t xml:space="preserve"> </w:t>
      </w:r>
      <w:r>
        <w:rPr>
          <w:sz w:val="36"/>
          <w:u w:val="single"/>
        </w:rPr>
        <w:t>Á</w:t>
      </w:r>
      <w:r>
        <w:rPr>
          <w:spacing w:val="-1"/>
          <w:sz w:val="36"/>
          <w:u w:val="single"/>
        </w:rPr>
        <w:t xml:space="preserve"> </w:t>
      </w:r>
      <w:r>
        <w:rPr>
          <w:sz w:val="36"/>
          <w:u w:val="single"/>
        </w:rPr>
        <w:t>Š</w:t>
      </w:r>
      <w:r>
        <w:rPr>
          <w:spacing w:val="-2"/>
          <w:sz w:val="36"/>
          <w:u w:val="single"/>
        </w:rPr>
        <w:t xml:space="preserve"> </w:t>
      </w:r>
      <w:r>
        <w:rPr>
          <w:sz w:val="36"/>
          <w:u w:val="single"/>
        </w:rPr>
        <w:t>E N</w:t>
      </w:r>
      <w:r>
        <w:rPr>
          <w:spacing w:val="-1"/>
          <w:sz w:val="36"/>
          <w:u w:val="single"/>
        </w:rPr>
        <w:t xml:space="preserve"> </w:t>
      </w:r>
      <w:r>
        <w:rPr>
          <w:spacing w:val="-10"/>
          <w:sz w:val="36"/>
          <w:u w:val="single"/>
        </w:rPr>
        <w:t>Í</w:t>
      </w:r>
    </w:p>
    <w:p w14:paraId="0EE77E53" w14:textId="77777777" w:rsidR="001438A4" w:rsidRDefault="001438A4" w:rsidP="001438A4">
      <w:pPr>
        <w:tabs>
          <w:tab w:val="left" w:pos="9295"/>
        </w:tabs>
        <w:ind w:left="116"/>
      </w:pPr>
    </w:p>
    <w:p w14:paraId="61E6025A" w14:textId="77777777" w:rsidR="001438A4" w:rsidRDefault="001438A4" w:rsidP="001438A4">
      <w:pPr>
        <w:tabs>
          <w:tab w:val="left" w:pos="9295"/>
        </w:tabs>
        <w:ind w:left="116"/>
      </w:pPr>
      <w:r>
        <w:t xml:space="preserve">Fyzická osoba </w:t>
      </w:r>
      <w:r>
        <w:rPr>
          <w:u w:val="single"/>
        </w:rPr>
        <w:tab/>
      </w:r>
    </w:p>
    <w:p w14:paraId="4FF52C7B" w14:textId="77777777" w:rsidR="001438A4" w:rsidRDefault="001438A4" w:rsidP="001438A4">
      <w:pPr>
        <w:pStyle w:val="Zkladntext"/>
        <w:spacing w:before="1"/>
        <w:rPr>
          <w:sz w:val="22"/>
        </w:rPr>
      </w:pPr>
    </w:p>
    <w:p w14:paraId="0BB85935" w14:textId="77777777" w:rsidR="001438A4" w:rsidRDefault="001438A4" w:rsidP="001438A4">
      <w:pPr>
        <w:tabs>
          <w:tab w:val="left" w:pos="9283"/>
        </w:tabs>
        <w:ind w:left="116"/>
      </w:pPr>
      <w:r>
        <w:t xml:space="preserve">bydliště/místo podnikání: </w:t>
      </w:r>
      <w:r>
        <w:rPr>
          <w:u w:val="single"/>
        </w:rPr>
        <w:tab/>
      </w:r>
    </w:p>
    <w:p w14:paraId="3A42F6A9" w14:textId="77777777" w:rsidR="001438A4" w:rsidRDefault="001438A4" w:rsidP="001438A4">
      <w:pPr>
        <w:pStyle w:val="Zkladntext"/>
        <w:rPr>
          <w:sz w:val="22"/>
        </w:rPr>
      </w:pPr>
    </w:p>
    <w:p w14:paraId="35FD71E9" w14:textId="77777777" w:rsidR="001438A4" w:rsidRDefault="001438A4" w:rsidP="001438A4">
      <w:pPr>
        <w:ind w:left="116"/>
      </w:pPr>
      <w:r>
        <w:rPr>
          <w:spacing w:val="-4"/>
        </w:rPr>
        <w:t>nebo</w:t>
      </w:r>
    </w:p>
    <w:p w14:paraId="5707BA2E" w14:textId="77777777" w:rsidR="001438A4" w:rsidRDefault="001438A4" w:rsidP="001438A4">
      <w:pPr>
        <w:pStyle w:val="Zkladntext"/>
        <w:spacing w:before="1"/>
        <w:rPr>
          <w:sz w:val="22"/>
        </w:rPr>
      </w:pPr>
    </w:p>
    <w:p w14:paraId="5E7E5BF0" w14:textId="77777777" w:rsidR="001438A4" w:rsidRDefault="001438A4" w:rsidP="001438A4">
      <w:pPr>
        <w:tabs>
          <w:tab w:val="left" w:pos="9333"/>
        </w:tabs>
        <w:ind w:left="116"/>
      </w:pPr>
      <w:r>
        <w:t xml:space="preserve">Obchodní společnost </w:t>
      </w:r>
      <w:r>
        <w:rPr>
          <w:u w:val="single"/>
        </w:rPr>
        <w:tab/>
      </w:r>
    </w:p>
    <w:p w14:paraId="3099EF3D" w14:textId="77777777" w:rsidR="001438A4" w:rsidRDefault="001438A4" w:rsidP="001438A4">
      <w:pPr>
        <w:pStyle w:val="Zkladntext"/>
        <w:rPr>
          <w:sz w:val="22"/>
        </w:rPr>
      </w:pPr>
    </w:p>
    <w:p w14:paraId="1C7BC3F7" w14:textId="77777777" w:rsidR="001438A4" w:rsidRDefault="001438A4" w:rsidP="001438A4">
      <w:pPr>
        <w:tabs>
          <w:tab w:val="left" w:pos="2045"/>
          <w:tab w:val="left" w:pos="9309"/>
        </w:tabs>
        <w:ind w:left="116"/>
      </w:pPr>
      <w:r>
        <w:t xml:space="preserve">IČ: </w:t>
      </w:r>
      <w:r>
        <w:rPr>
          <w:u w:val="single"/>
        </w:rPr>
        <w:tab/>
      </w:r>
      <w:r>
        <w:t xml:space="preserve">se sídlem: </w:t>
      </w:r>
      <w:r>
        <w:rPr>
          <w:u w:val="single"/>
        </w:rPr>
        <w:tab/>
      </w:r>
    </w:p>
    <w:p w14:paraId="5319952C" w14:textId="77777777" w:rsidR="001438A4" w:rsidRDefault="001438A4" w:rsidP="001438A4">
      <w:pPr>
        <w:tabs>
          <w:tab w:val="left" w:pos="9302"/>
        </w:tabs>
        <w:spacing w:before="251"/>
        <w:ind w:left="116"/>
      </w:pPr>
      <w:r>
        <w:t xml:space="preserve">podnikající na základě: </w:t>
      </w:r>
      <w:r>
        <w:rPr>
          <w:u w:val="single"/>
        </w:rPr>
        <w:tab/>
      </w:r>
    </w:p>
    <w:p w14:paraId="177CACE7" w14:textId="77777777" w:rsidR="001438A4" w:rsidRDefault="001438A4" w:rsidP="001438A4">
      <w:pPr>
        <w:pStyle w:val="Zkladntext"/>
        <w:spacing w:before="1"/>
        <w:rPr>
          <w:sz w:val="22"/>
        </w:rPr>
      </w:pPr>
    </w:p>
    <w:p w14:paraId="2501CD52" w14:textId="77777777" w:rsidR="001438A4" w:rsidRDefault="001438A4" w:rsidP="001438A4">
      <w:pPr>
        <w:tabs>
          <w:tab w:val="left" w:pos="4270"/>
          <w:tab w:val="left" w:pos="5072"/>
          <w:tab w:val="left" w:pos="9286"/>
        </w:tabs>
        <w:ind w:left="116"/>
      </w:pPr>
      <w:r>
        <w:t xml:space="preserve">Telefon: </w:t>
      </w:r>
      <w:r>
        <w:rPr>
          <w:u w:val="single"/>
        </w:rPr>
        <w:tab/>
      </w:r>
      <w:r>
        <w:tab/>
        <w:t xml:space="preserve">E – mail: </w:t>
      </w:r>
      <w:r>
        <w:rPr>
          <w:u w:val="single"/>
        </w:rPr>
        <w:tab/>
      </w:r>
    </w:p>
    <w:p w14:paraId="512E8D7E" w14:textId="77777777" w:rsidR="001438A4" w:rsidRDefault="001438A4" w:rsidP="001438A4">
      <w:pPr>
        <w:pStyle w:val="Zkladntext"/>
        <w:spacing w:before="122"/>
        <w:ind w:left="116"/>
      </w:pPr>
      <w:r>
        <w:t>tímto</w:t>
      </w:r>
      <w:r>
        <w:rPr>
          <w:spacing w:val="-2"/>
        </w:rPr>
        <w:t xml:space="preserve"> </w:t>
      </w:r>
      <w:r>
        <w:t>činí</w:t>
      </w:r>
      <w:r>
        <w:rPr>
          <w:spacing w:val="-1"/>
        </w:rPr>
        <w:t xml:space="preserve"> </w:t>
      </w:r>
      <w:r>
        <w:t>ve</w:t>
      </w:r>
      <w:r>
        <w:rPr>
          <w:spacing w:val="-2"/>
        </w:rPr>
        <w:t xml:space="preserve"> </w:t>
      </w:r>
      <w:r>
        <w:t>smyslu</w:t>
      </w:r>
      <w:r>
        <w:rPr>
          <w:spacing w:val="-1"/>
        </w:rPr>
        <w:t xml:space="preserve"> </w:t>
      </w:r>
      <w:r>
        <w:t>podmínek výběrového řízení</w:t>
      </w:r>
      <w:r>
        <w:rPr>
          <w:spacing w:val="1"/>
        </w:rPr>
        <w:t xml:space="preserve"> </w:t>
      </w:r>
      <w:r>
        <w:t>na</w:t>
      </w:r>
      <w:r>
        <w:rPr>
          <w:spacing w:val="-2"/>
        </w:rPr>
        <w:t xml:space="preserve"> pronájem:</w:t>
      </w:r>
    </w:p>
    <w:p w14:paraId="01F6F84A" w14:textId="77777777" w:rsidR="001438A4" w:rsidRDefault="001438A4" w:rsidP="001438A4">
      <w:pPr>
        <w:pStyle w:val="Odstavecseseznamem"/>
        <w:numPr>
          <w:ilvl w:val="0"/>
          <w:numId w:val="2"/>
        </w:numPr>
        <w:tabs>
          <w:tab w:val="left" w:pos="397"/>
          <w:tab w:val="left" w:pos="399"/>
        </w:tabs>
        <w:ind w:right="124"/>
        <w:contextualSpacing w:val="0"/>
        <w:jc w:val="both"/>
        <w:rPr>
          <w:sz w:val="24"/>
        </w:rPr>
      </w:pPr>
      <w:r>
        <w:rPr>
          <w:sz w:val="24"/>
        </w:rPr>
        <w:t>části pozemku p.č. 2289/1</w:t>
      </w:r>
      <w:r>
        <w:rPr>
          <w:spacing w:val="-1"/>
          <w:sz w:val="24"/>
        </w:rPr>
        <w:t xml:space="preserve"> </w:t>
      </w:r>
      <w:r>
        <w:rPr>
          <w:sz w:val="24"/>
        </w:rPr>
        <w:t>(ostatní plocha) Smetanovy sady o výměře 2 m</w:t>
      </w:r>
      <w:r w:rsidRPr="00751A6A">
        <w:rPr>
          <w:sz w:val="24"/>
          <w:vertAlign w:val="superscript"/>
        </w:rPr>
        <w:t>2</w:t>
      </w:r>
      <w:r>
        <w:rPr>
          <w:sz w:val="24"/>
        </w:rPr>
        <w:t xml:space="preserve"> na trase tvořené pískovými (mlatovými) cestami v</w:t>
      </w:r>
      <w:r>
        <w:rPr>
          <w:spacing w:val="-1"/>
          <w:sz w:val="24"/>
        </w:rPr>
        <w:t xml:space="preserve"> </w:t>
      </w:r>
      <w:r>
        <w:rPr>
          <w:sz w:val="24"/>
        </w:rPr>
        <w:t xml:space="preserve">k.ú. Karlovy Vary, obec a okres Karlovy Vary, zapsaného v katastru nemovitostí vedeném Katastrálním úřadem pro Karlovarský kraj, Katastrální pracoviště Karlovy Vary na LV č. 8068, označené jako část „A“, </w:t>
      </w:r>
      <w:r>
        <w:rPr>
          <w:b/>
          <w:sz w:val="24"/>
        </w:rPr>
        <w:t>za minimální nájemné ve výši 100,- Kč/m</w:t>
      </w:r>
      <w:r w:rsidRPr="000F74B6">
        <w:rPr>
          <w:b/>
          <w:sz w:val="24"/>
          <w:vertAlign w:val="superscript"/>
        </w:rPr>
        <w:t>2</w:t>
      </w:r>
      <w:r>
        <w:rPr>
          <w:b/>
          <w:sz w:val="24"/>
        </w:rPr>
        <w:t>/den bez DPH</w:t>
      </w:r>
      <w:r>
        <w:rPr>
          <w:sz w:val="24"/>
        </w:rPr>
        <w:t>;</w:t>
      </w:r>
    </w:p>
    <w:p w14:paraId="60EFC9C9" w14:textId="77777777" w:rsidR="001438A4" w:rsidRDefault="001438A4" w:rsidP="001438A4">
      <w:pPr>
        <w:spacing w:before="125"/>
        <w:ind w:left="3325"/>
        <w:jc w:val="both"/>
        <w:rPr>
          <w:b/>
          <w:sz w:val="24"/>
        </w:rPr>
      </w:pPr>
      <w:r>
        <w:rPr>
          <w:b/>
          <w:sz w:val="24"/>
        </w:rPr>
        <w:t>č</w:t>
      </w:r>
      <w:r>
        <w:rPr>
          <w:b/>
          <w:spacing w:val="-1"/>
          <w:sz w:val="24"/>
        </w:rPr>
        <w:t xml:space="preserve"> </w:t>
      </w:r>
      <w:r>
        <w:rPr>
          <w:b/>
          <w:sz w:val="24"/>
        </w:rPr>
        <w:t>e</w:t>
      </w:r>
      <w:r>
        <w:rPr>
          <w:b/>
          <w:spacing w:val="-1"/>
          <w:sz w:val="24"/>
        </w:rPr>
        <w:t xml:space="preserve"> </w:t>
      </w:r>
      <w:r>
        <w:rPr>
          <w:b/>
          <w:sz w:val="24"/>
        </w:rPr>
        <w:t>s t n</w:t>
      </w:r>
      <w:r>
        <w:rPr>
          <w:b/>
          <w:spacing w:val="-1"/>
          <w:sz w:val="24"/>
        </w:rPr>
        <w:t xml:space="preserve"> </w:t>
      </w:r>
      <w:r>
        <w:rPr>
          <w:b/>
          <w:sz w:val="24"/>
        </w:rPr>
        <w:t>é</w:t>
      </w:r>
      <w:r>
        <w:rPr>
          <w:b/>
          <w:spacing w:val="59"/>
          <w:sz w:val="24"/>
        </w:rPr>
        <w:t xml:space="preserve">  </w:t>
      </w:r>
      <w:r>
        <w:rPr>
          <w:b/>
          <w:sz w:val="24"/>
        </w:rPr>
        <w:t>p</w:t>
      </w:r>
      <w:r>
        <w:rPr>
          <w:b/>
          <w:spacing w:val="1"/>
          <w:sz w:val="24"/>
        </w:rPr>
        <w:t xml:space="preserve"> </w:t>
      </w:r>
      <w:r>
        <w:rPr>
          <w:b/>
          <w:sz w:val="24"/>
        </w:rPr>
        <w:t>r</w:t>
      </w:r>
      <w:r>
        <w:rPr>
          <w:b/>
          <w:spacing w:val="-1"/>
          <w:sz w:val="24"/>
        </w:rPr>
        <w:t xml:space="preserve"> </w:t>
      </w:r>
      <w:r>
        <w:rPr>
          <w:b/>
          <w:sz w:val="24"/>
        </w:rPr>
        <w:t>o h l á š e</w:t>
      </w:r>
      <w:r>
        <w:rPr>
          <w:b/>
          <w:spacing w:val="-1"/>
          <w:sz w:val="24"/>
        </w:rPr>
        <w:t xml:space="preserve"> </w:t>
      </w:r>
      <w:r>
        <w:rPr>
          <w:b/>
          <w:sz w:val="24"/>
        </w:rPr>
        <w:t xml:space="preserve">n </w:t>
      </w:r>
      <w:r>
        <w:rPr>
          <w:b/>
          <w:spacing w:val="-10"/>
          <w:sz w:val="24"/>
        </w:rPr>
        <w:t>í</w:t>
      </w:r>
    </w:p>
    <w:p w14:paraId="6A1D1BAE" w14:textId="77777777" w:rsidR="001438A4" w:rsidRDefault="001438A4" w:rsidP="001438A4">
      <w:pPr>
        <w:pStyle w:val="Zkladntext"/>
        <w:spacing w:before="116"/>
        <w:ind w:left="116"/>
        <w:jc w:val="both"/>
      </w:pPr>
      <w:r>
        <w:t>Účastník</w:t>
      </w:r>
      <w:r>
        <w:rPr>
          <w:spacing w:val="-4"/>
        </w:rPr>
        <w:t xml:space="preserve"> </w:t>
      </w:r>
      <w:r>
        <w:t>výběrového</w:t>
      </w:r>
      <w:r>
        <w:rPr>
          <w:spacing w:val="-1"/>
        </w:rPr>
        <w:t xml:space="preserve"> </w:t>
      </w:r>
      <w:r>
        <w:t>řízení</w:t>
      </w:r>
      <w:r>
        <w:rPr>
          <w:spacing w:val="-2"/>
        </w:rPr>
        <w:t xml:space="preserve"> </w:t>
      </w:r>
      <w:r>
        <w:t>výslovně</w:t>
      </w:r>
      <w:r>
        <w:rPr>
          <w:spacing w:val="-2"/>
        </w:rPr>
        <w:t xml:space="preserve"> </w:t>
      </w:r>
      <w:r>
        <w:t xml:space="preserve">prohlašuje, </w:t>
      </w:r>
      <w:r>
        <w:rPr>
          <w:spacing w:val="-5"/>
        </w:rPr>
        <w:t>že:</w:t>
      </w:r>
    </w:p>
    <w:p w14:paraId="79BBBF1E" w14:textId="77777777" w:rsidR="001438A4" w:rsidRDefault="001438A4" w:rsidP="001438A4">
      <w:pPr>
        <w:pStyle w:val="Odstavecseseznamem"/>
        <w:numPr>
          <w:ilvl w:val="0"/>
          <w:numId w:val="1"/>
        </w:numPr>
        <w:tabs>
          <w:tab w:val="left" w:pos="822"/>
          <w:tab w:val="left" w:pos="829"/>
        </w:tabs>
        <w:spacing w:before="120"/>
        <w:ind w:right="131" w:hanging="356"/>
        <w:contextualSpacing w:val="0"/>
        <w:jc w:val="both"/>
        <w:rPr>
          <w:sz w:val="24"/>
        </w:rPr>
      </w:pPr>
      <w:r>
        <w:rPr>
          <w:sz w:val="24"/>
        </w:rPr>
        <w:t>není osobou, vůči které, nebo vůči jejíž společnosti mají Lázeňské lesy a parky Karlovy Vary, příspěvková organizace, Finanční úřad a Správa sociálního zabezpečení, peněžité pohledávky po splatnosti,</w:t>
      </w:r>
    </w:p>
    <w:p w14:paraId="329FEB18" w14:textId="77777777" w:rsidR="001438A4" w:rsidRDefault="001438A4" w:rsidP="001438A4">
      <w:pPr>
        <w:pStyle w:val="Odstavecseseznamem"/>
        <w:numPr>
          <w:ilvl w:val="0"/>
          <w:numId w:val="1"/>
        </w:numPr>
        <w:tabs>
          <w:tab w:val="left" w:pos="821"/>
          <w:tab w:val="left" w:pos="829"/>
        </w:tabs>
        <w:spacing w:before="120"/>
        <w:ind w:right="124" w:hanging="356"/>
        <w:contextualSpacing w:val="0"/>
        <w:jc w:val="both"/>
        <w:rPr>
          <w:sz w:val="24"/>
        </w:rPr>
      </w:pPr>
      <w:r>
        <w:rPr>
          <w:sz w:val="24"/>
        </w:rPr>
        <w:t>není osobou vyloučenou z výběrového řízení, tj. že není osobou, která nemůže uzavírat nájemní smlouvy k předmětu výběrového řízení, nebo osobou, na jejíž majetek byl prohlášen konkurs nebo vůči níž byl zamítnut návrh na prohlášení konkursu pro nedostatek majetku, nebo ohledně jejíhož majetku byl podán návrh na vyrovnání dle zákona č. 328/1991 Sb., o konkursu a vyrovnání, ve znění pozdějších předpisů a/nebo bylo zahájeno insolvenční řízení, jehož předmětem je její úpadek nebo hrozící úpadek dle</w:t>
      </w:r>
      <w:r>
        <w:rPr>
          <w:spacing w:val="34"/>
          <w:sz w:val="24"/>
        </w:rPr>
        <w:t xml:space="preserve"> </w:t>
      </w:r>
      <w:r>
        <w:rPr>
          <w:sz w:val="24"/>
        </w:rPr>
        <w:t>zákona</w:t>
      </w:r>
      <w:r>
        <w:rPr>
          <w:spacing w:val="34"/>
          <w:sz w:val="24"/>
        </w:rPr>
        <w:t xml:space="preserve"> </w:t>
      </w:r>
      <w:r>
        <w:rPr>
          <w:sz w:val="24"/>
        </w:rPr>
        <w:t>č.</w:t>
      </w:r>
      <w:r>
        <w:rPr>
          <w:spacing w:val="35"/>
          <w:sz w:val="24"/>
        </w:rPr>
        <w:t xml:space="preserve"> </w:t>
      </w:r>
      <w:r>
        <w:rPr>
          <w:sz w:val="24"/>
        </w:rPr>
        <w:t>182/2006</w:t>
      </w:r>
      <w:r>
        <w:rPr>
          <w:spacing w:val="35"/>
          <w:sz w:val="24"/>
        </w:rPr>
        <w:t xml:space="preserve"> </w:t>
      </w:r>
      <w:r>
        <w:rPr>
          <w:sz w:val="24"/>
        </w:rPr>
        <w:t>Sb.,</w:t>
      </w:r>
      <w:r>
        <w:rPr>
          <w:spacing w:val="35"/>
          <w:sz w:val="24"/>
        </w:rPr>
        <w:t xml:space="preserve"> </w:t>
      </w:r>
      <w:r>
        <w:rPr>
          <w:sz w:val="24"/>
        </w:rPr>
        <w:t>o</w:t>
      </w:r>
      <w:r>
        <w:rPr>
          <w:spacing w:val="35"/>
          <w:sz w:val="24"/>
        </w:rPr>
        <w:t xml:space="preserve"> </w:t>
      </w:r>
      <w:r>
        <w:rPr>
          <w:sz w:val="24"/>
        </w:rPr>
        <w:t>úpadku</w:t>
      </w:r>
      <w:r>
        <w:rPr>
          <w:spacing w:val="35"/>
          <w:sz w:val="24"/>
        </w:rPr>
        <w:t xml:space="preserve"> </w:t>
      </w:r>
      <w:r>
        <w:rPr>
          <w:sz w:val="24"/>
        </w:rPr>
        <w:t>a</w:t>
      </w:r>
      <w:r>
        <w:rPr>
          <w:spacing w:val="34"/>
          <w:sz w:val="24"/>
        </w:rPr>
        <w:t xml:space="preserve"> </w:t>
      </w:r>
      <w:r>
        <w:rPr>
          <w:sz w:val="24"/>
        </w:rPr>
        <w:t>způsobech</w:t>
      </w:r>
      <w:r>
        <w:rPr>
          <w:spacing w:val="35"/>
          <w:sz w:val="24"/>
        </w:rPr>
        <w:t xml:space="preserve"> </w:t>
      </w:r>
      <w:r>
        <w:rPr>
          <w:sz w:val="24"/>
        </w:rPr>
        <w:t>jeho</w:t>
      </w:r>
      <w:r>
        <w:rPr>
          <w:spacing w:val="34"/>
          <w:sz w:val="24"/>
        </w:rPr>
        <w:t xml:space="preserve"> </w:t>
      </w:r>
      <w:r>
        <w:rPr>
          <w:sz w:val="24"/>
        </w:rPr>
        <w:t>řešení,</w:t>
      </w:r>
      <w:r>
        <w:rPr>
          <w:spacing w:val="35"/>
          <w:sz w:val="24"/>
        </w:rPr>
        <w:t xml:space="preserve"> </w:t>
      </w:r>
      <w:r>
        <w:rPr>
          <w:sz w:val="24"/>
        </w:rPr>
        <w:t>(insolvenční</w:t>
      </w:r>
      <w:r>
        <w:rPr>
          <w:spacing w:val="35"/>
          <w:sz w:val="24"/>
        </w:rPr>
        <w:t xml:space="preserve"> </w:t>
      </w:r>
      <w:r>
        <w:rPr>
          <w:sz w:val="24"/>
        </w:rPr>
        <w:t>zákon), v</w:t>
      </w:r>
      <w:r>
        <w:rPr>
          <w:spacing w:val="-3"/>
          <w:sz w:val="24"/>
        </w:rPr>
        <w:t xml:space="preserve"> </w:t>
      </w:r>
      <w:r>
        <w:rPr>
          <w:sz w:val="24"/>
        </w:rPr>
        <w:t>platném znění, právnická osoba, která před datem konání výběrového řízení vstoupila do likvidace,</w:t>
      </w:r>
    </w:p>
    <w:p w14:paraId="3C0AC1AC" w14:textId="77777777" w:rsidR="001438A4" w:rsidRDefault="001438A4" w:rsidP="001438A4">
      <w:pPr>
        <w:pStyle w:val="Odstavecseseznamem"/>
        <w:numPr>
          <w:ilvl w:val="0"/>
          <w:numId w:val="1"/>
        </w:numPr>
        <w:tabs>
          <w:tab w:val="left" w:pos="822"/>
          <w:tab w:val="left" w:pos="829"/>
        </w:tabs>
        <w:spacing w:before="118"/>
        <w:ind w:right="122" w:hanging="356"/>
        <w:contextualSpacing w:val="0"/>
        <w:jc w:val="both"/>
        <w:rPr>
          <w:sz w:val="24"/>
        </w:rPr>
      </w:pPr>
      <w:r>
        <w:rPr>
          <w:sz w:val="24"/>
        </w:rPr>
        <w:t>je osobou, která je schopná řádně a včas splnit závazky, které jí vyplynou z případného vítězství ve výběrovém řízení vyhlášeném Lázeňskými lesy a parky Karlovy Vary, příspěvkovou organizací není předlužena či neschopna plnit své splatné závazky;</w:t>
      </w:r>
    </w:p>
    <w:p w14:paraId="03B4C80B" w14:textId="77777777" w:rsidR="001438A4" w:rsidRDefault="001438A4" w:rsidP="001438A4">
      <w:pPr>
        <w:pStyle w:val="Odstavecseseznamem"/>
        <w:numPr>
          <w:ilvl w:val="0"/>
          <w:numId w:val="1"/>
        </w:numPr>
        <w:tabs>
          <w:tab w:val="left" w:pos="821"/>
          <w:tab w:val="left" w:pos="829"/>
        </w:tabs>
        <w:spacing w:before="120"/>
        <w:ind w:right="124" w:hanging="356"/>
        <w:contextualSpacing w:val="0"/>
        <w:jc w:val="both"/>
        <w:rPr>
          <w:sz w:val="24"/>
        </w:rPr>
      </w:pPr>
      <w:r>
        <w:rPr>
          <w:sz w:val="24"/>
        </w:rPr>
        <w:t>případným</w:t>
      </w:r>
      <w:r>
        <w:rPr>
          <w:spacing w:val="-2"/>
          <w:sz w:val="24"/>
        </w:rPr>
        <w:t xml:space="preserve"> </w:t>
      </w:r>
      <w:r>
        <w:rPr>
          <w:sz w:val="24"/>
        </w:rPr>
        <w:t>převzetím</w:t>
      </w:r>
      <w:r>
        <w:rPr>
          <w:spacing w:val="40"/>
          <w:sz w:val="24"/>
        </w:rPr>
        <w:t xml:space="preserve"> </w:t>
      </w:r>
      <w:r>
        <w:rPr>
          <w:sz w:val="24"/>
        </w:rPr>
        <w:t>závazku</w:t>
      </w:r>
      <w:r>
        <w:rPr>
          <w:spacing w:val="40"/>
          <w:sz w:val="24"/>
        </w:rPr>
        <w:t xml:space="preserve"> </w:t>
      </w:r>
      <w:r>
        <w:rPr>
          <w:sz w:val="24"/>
        </w:rPr>
        <w:t>k uzavření</w:t>
      </w:r>
      <w:r>
        <w:rPr>
          <w:spacing w:val="40"/>
          <w:sz w:val="24"/>
        </w:rPr>
        <w:t xml:space="preserve"> </w:t>
      </w:r>
      <w:r>
        <w:rPr>
          <w:sz w:val="24"/>
        </w:rPr>
        <w:t>smlouvy</w:t>
      </w:r>
      <w:r>
        <w:rPr>
          <w:spacing w:val="40"/>
          <w:sz w:val="24"/>
        </w:rPr>
        <w:t xml:space="preserve"> </w:t>
      </w:r>
      <w:r>
        <w:rPr>
          <w:sz w:val="24"/>
        </w:rPr>
        <w:t>k</w:t>
      </w:r>
      <w:r>
        <w:rPr>
          <w:spacing w:val="-2"/>
          <w:sz w:val="24"/>
        </w:rPr>
        <w:t xml:space="preserve"> </w:t>
      </w:r>
      <w:r>
        <w:rPr>
          <w:sz w:val="24"/>
        </w:rPr>
        <w:t>předmětu</w:t>
      </w:r>
      <w:r>
        <w:rPr>
          <w:spacing w:val="40"/>
          <w:sz w:val="24"/>
        </w:rPr>
        <w:t xml:space="preserve"> </w:t>
      </w:r>
      <w:r>
        <w:rPr>
          <w:sz w:val="24"/>
        </w:rPr>
        <w:t>výběrového</w:t>
      </w:r>
      <w:r>
        <w:rPr>
          <w:spacing w:val="40"/>
          <w:sz w:val="24"/>
        </w:rPr>
        <w:t xml:space="preserve"> </w:t>
      </w:r>
      <w:r>
        <w:rPr>
          <w:sz w:val="24"/>
        </w:rPr>
        <w:t>řízení a/nebo uzavřením smlouvy</w:t>
      </w:r>
      <w:r>
        <w:rPr>
          <w:spacing w:val="40"/>
          <w:sz w:val="24"/>
        </w:rPr>
        <w:t xml:space="preserve"> </w:t>
      </w:r>
      <w:r>
        <w:rPr>
          <w:sz w:val="24"/>
        </w:rPr>
        <w:t>předmětu výběrového řízení:</w:t>
      </w:r>
    </w:p>
    <w:p w14:paraId="496AF855" w14:textId="77777777" w:rsidR="001438A4" w:rsidRDefault="001438A4" w:rsidP="001438A4">
      <w:pPr>
        <w:pStyle w:val="Odstavecseseznamem"/>
        <w:numPr>
          <w:ilvl w:val="1"/>
          <w:numId w:val="1"/>
        </w:numPr>
        <w:tabs>
          <w:tab w:val="left" w:pos="1556"/>
        </w:tabs>
        <w:spacing w:before="1"/>
        <w:ind w:left="1556"/>
        <w:contextualSpacing w:val="0"/>
        <w:jc w:val="both"/>
        <w:rPr>
          <w:sz w:val="24"/>
        </w:rPr>
      </w:pPr>
      <w:r>
        <w:rPr>
          <w:sz w:val="24"/>
        </w:rPr>
        <w:t>neporuší</w:t>
      </w:r>
      <w:r>
        <w:rPr>
          <w:spacing w:val="-3"/>
          <w:sz w:val="24"/>
        </w:rPr>
        <w:t xml:space="preserve"> </w:t>
      </w:r>
      <w:r>
        <w:rPr>
          <w:sz w:val="24"/>
        </w:rPr>
        <w:t>správní rozhodnutí</w:t>
      </w:r>
      <w:r>
        <w:rPr>
          <w:spacing w:val="-1"/>
          <w:sz w:val="24"/>
        </w:rPr>
        <w:t xml:space="preserve"> </w:t>
      </w:r>
      <w:r>
        <w:rPr>
          <w:sz w:val="24"/>
        </w:rPr>
        <w:t>orgánu státní</w:t>
      </w:r>
      <w:r>
        <w:rPr>
          <w:spacing w:val="-1"/>
          <w:sz w:val="24"/>
        </w:rPr>
        <w:t xml:space="preserve"> </w:t>
      </w:r>
      <w:r>
        <w:rPr>
          <w:sz w:val="24"/>
        </w:rPr>
        <w:t>správy</w:t>
      </w:r>
      <w:r>
        <w:rPr>
          <w:spacing w:val="-3"/>
          <w:sz w:val="24"/>
        </w:rPr>
        <w:t xml:space="preserve"> </w:t>
      </w:r>
      <w:r>
        <w:rPr>
          <w:sz w:val="24"/>
        </w:rPr>
        <w:t>České</w:t>
      </w:r>
      <w:r>
        <w:rPr>
          <w:spacing w:val="-1"/>
          <w:sz w:val="24"/>
        </w:rPr>
        <w:t xml:space="preserve"> </w:t>
      </w:r>
      <w:r>
        <w:rPr>
          <w:spacing w:val="-2"/>
          <w:sz w:val="24"/>
        </w:rPr>
        <w:t>republiky;</w:t>
      </w:r>
    </w:p>
    <w:p w14:paraId="27C5A069" w14:textId="77777777" w:rsidR="001438A4" w:rsidRDefault="001438A4" w:rsidP="001438A4">
      <w:pPr>
        <w:pStyle w:val="Odstavecseseznamem"/>
        <w:numPr>
          <w:ilvl w:val="1"/>
          <w:numId w:val="1"/>
        </w:numPr>
        <w:tabs>
          <w:tab w:val="left" w:pos="1556"/>
        </w:tabs>
        <w:ind w:left="1556"/>
        <w:contextualSpacing w:val="0"/>
        <w:jc w:val="both"/>
        <w:rPr>
          <w:sz w:val="24"/>
        </w:rPr>
      </w:pPr>
      <w:r>
        <w:rPr>
          <w:sz w:val="24"/>
        </w:rPr>
        <w:t>neporuší</w:t>
      </w:r>
      <w:r>
        <w:rPr>
          <w:spacing w:val="-3"/>
          <w:sz w:val="24"/>
        </w:rPr>
        <w:t xml:space="preserve"> </w:t>
      </w:r>
      <w:r>
        <w:rPr>
          <w:sz w:val="24"/>
        </w:rPr>
        <w:t>soudní</w:t>
      </w:r>
      <w:r>
        <w:rPr>
          <w:spacing w:val="-1"/>
          <w:sz w:val="24"/>
        </w:rPr>
        <w:t xml:space="preserve"> </w:t>
      </w:r>
      <w:r>
        <w:rPr>
          <w:sz w:val="24"/>
        </w:rPr>
        <w:t>rozhodnutí soudů</w:t>
      </w:r>
      <w:r>
        <w:rPr>
          <w:spacing w:val="-1"/>
          <w:sz w:val="24"/>
        </w:rPr>
        <w:t xml:space="preserve"> </w:t>
      </w:r>
      <w:r>
        <w:rPr>
          <w:sz w:val="24"/>
        </w:rPr>
        <w:t>v</w:t>
      </w:r>
      <w:r>
        <w:rPr>
          <w:spacing w:val="-1"/>
          <w:sz w:val="24"/>
        </w:rPr>
        <w:t xml:space="preserve"> </w:t>
      </w:r>
      <w:r>
        <w:rPr>
          <w:sz w:val="24"/>
        </w:rPr>
        <w:t>České</w:t>
      </w:r>
      <w:r>
        <w:rPr>
          <w:spacing w:val="-1"/>
          <w:sz w:val="24"/>
        </w:rPr>
        <w:t xml:space="preserve"> </w:t>
      </w:r>
      <w:r>
        <w:rPr>
          <w:sz w:val="24"/>
        </w:rPr>
        <w:t>republice</w:t>
      </w:r>
      <w:r>
        <w:rPr>
          <w:spacing w:val="-2"/>
          <w:sz w:val="24"/>
        </w:rPr>
        <w:t xml:space="preserve"> </w:t>
      </w:r>
      <w:r>
        <w:rPr>
          <w:sz w:val="24"/>
        </w:rPr>
        <w:t>či kdekoli</w:t>
      </w:r>
      <w:r>
        <w:rPr>
          <w:spacing w:val="-1"/>
          <w:sz w:val="24"/>
        </w:rPr>
        <w:t xml:space="preserve"> </w:t>
      </w:r>
      <w:r>
        <w:rPr>
          <w:sz w:val="24"/>
        </w:rPr>
        <w:t xml:space="preserve">v </w:t>
      </w:r>
      <w:r>
        <w:rPr>
          <w:spacing w:val="-2"/>
          <w:sz w:val="24"/>
        </w:rPr>
        <w:t>zahraničí;</w:t>
      </w:r>
    </w:p>
    <w:p w14:paraId="63A79337" w14:textId="77777777" w:rsidR="001438A4" w:rsidRDefault="001438A4" w:rsidP="001438A4">
      <w:pPr>
        <w:pStyle w:val="Odstavecseseznamem"/>
        <w:numPr>
          <w:ilvl w:val="1"/>
          <w:numId w:val="1"/>
        </w:numPr>
        <w:tabs>
          <w:tab w:val="left" w:pos="1532"/>
        </w:tabs>
        <w:ind w:right="130" w:hanging="684"/>
        <w:contextualSpacing w:val="0"/>
        <w:jc w:val="both"/>
        <w:rPr>
          <w:sz w:val="24"/>
        </w:rPr>
      </w:pPr>
      <w:r>
        <w:rPr>
          <w:sz w:val="24"/>
        </w:rPr>
        <w:t>nebude mít za následek porušení společenské smlouvy, zakladatelské listiny, stanov či jiného korporátního dokumentu účastníka výběrového řízení;</w:t>
      </w:r>
    </w:p>
    <w:p w14:paraId="2EC7923A" w14:textId="77777777" w:rsidR="001438A4" w:rsidRDefault="001438A4" w:rsidP="001438A4">
      <w:pPr>
        <w:pStyle w:val="Odstavecseseznamem"/>
        <w:numPr>
          <w:ilvl w:val="1"/>
          <w:numId w:val="1"/>
        </w:numPr>
        <w:tabs>
          <w:tab w:val="left" w:pos="1531"/>
        </w:tabs>
        <w:ind w:left="1531" w:hanging="707"/>
        <w:contextualSpacing w:val="0"/>
        <w:jc w:val="both"/>
        <w:rPr>
          <w:sz w:val="24"/>
        </w:rPr>
      </w:pPr>
      <w:r>
        <w:rPr>
          <w:sz w:val="24"/>
        </w:rPr>
        <w:t>neporuší</w:t>
      </w:r>
      <w:r>
        <w:rPr>
          <w:spacing w:val="-1"/>
          <w:sz w:val="24"/>
        </w:rPr>
        <w:t xml:space="preserve"> </w:t>
      </w:r>
      <w:r>
        <w:rPr>
          <w:sz w:val="24"/>
        </w:rPr>
        <w:t>jakýkoli obecně závazný</w:t>
      </w:r>
      <w:r>
        <w:rPr>
          <w:spacing w:val="-6"/>
          <w:sz w:val="24"/>
        </w:rPr>
        <w:t xml:space="preserve"> </w:t>
      </w:r>
      <w:r>
        <w:rPr>
          <w:sz w:val="24"/>
        </w:rPr>
        <w:t xml:space="preserve">právní </w:t>
      </w:r>
      <w:r>
        <w:rPr>
          <w:spacing w:val="-2"/>
          <w:sz w:val="24"/>
        </w:rPr>
        <w:t>předpis.</w:t>
      </w:r>
    </w:p>
    <w:p w14:paraId="39418E77" w14:textId="77777777" w:rsidR="001438A4" w:rsidRDefault="001438A4" w:rsidP="001438A4">
      <w:pPr>
        <w:pStyle w:val="Zkladntext"/>
        <w:tabs>
          <w:tab w:val="left" w:pos="4196"/>
        </w:tabs>
        <w:spacing w:before="276"/>
        <w:ind w:left="116"/>
        <w:jc w:val="both"/>
      </w:pPr>
      <w:r>
        <w:t>V</w:t>
      </w:r>
      <w:r>
        <w:rPr>
          <w:spacing w:val="-3"/>
        </w:rPr>
        <w:t xml:space="preserve"> </w:t>
      </w:r>
      <w:r>
        <w:t>Karlových Varech</w:t>
      </w:r>
      <w:r>
        <w:rPr>
          <w:spacing w:val="57"/>
        </w:rPr>
        <w:t xml:space="preserve"> </w:t>
      </w:r>
      <w:r>
        <w:rPr>
          <w:spacing w:val="-5"/>
        </w:rPr>
        <w:t>dne</w:t>
      </w:r>
      <w:r>
        <w:rPr>
          <w:u w:val="single"/>
        </w:rPr>
        <w:tab/>
      </w:r>
    </w:p>
    <w:p w14:paraId="23034B71" w14:textId="77777777" w:rsidR="001438A4" w:rsidRDefault="001438A4" w:rsidP="001438A4">
      <w:pPr>
        <w:pStyle w:val="Zkladntext"/>
        <w:spacing w:before="17"/>
        <w:rPr>
          <w:sz w:val="20"/>
        </w:rPr>
      </w:pPr>
      <w:r>
        <w:rPr>
          <w:noProof/>
        </w:rPr>
        <mc:AlternateContent>
          <mc:Choice Requires="wps">
            <w:drawing>
              <wp:anchor distT="0" distB="0" distL="0" distR="0" simplePos="0" relativeHeight="251659264" behindDoc="1" locked="0" layoutInCell="1" allowOverlap="1" wp14:anchorId="3D333AB7" wp14:editId="7160462F">
                <wp:simplePos x="0" y="0"/>
                <wp:positionH relativeFrom="page">
                  <wp:posOffset>4435728</wp:posOffset>
                </wp:positionH>
                <wp:positionV relativeFrom="paragraph">
                  <wp:posOffset>172100</wp:posOffset>
                </wp:positionV>
                <wp:extent cx="21342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39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9ED6C" id="Graphic 1" o:spid="_x0000_s1026" style="position:absolute;margin-left:349.25pt;margin-top:13.55pt;width:168.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" path="m,l2133981,e" filled="f" strokeweight=".48pt">
                <v:path arrowok="t"/>
                <w10:wrap type="topAndBottom" anchorx="page"/>
              </v:shape>
            </w:pict>
          </mc:Fallback>
        </mc:AlternateContent>
      </w:r>
    </w:p>
    <w:p w14:paraId="5071EA38" w14:textId="77777777" w:rsidR="001438A4" w:rsidRDefault="001438A4" w:rsidP="001438A4">
      <w:pPr>
        <w:ind w:left="5781"/>
      </w:pPr>
      <w:r>
        <w:rPr>
          <w:sz w:val="24"/>
        </w:rPr>
        <w:t>p</w:t>
      </w:r>
      <w:r>
        <w:t>odpis</w:t>
      </w:r>
      <w:r>
        <w:rPr>
          <w:spacing w:val="-6"/>
        </w:rPr>
        <w:t xml:space="preserve"> </w:t>
      </w:r>
      <w:r>
        <w:t>účastníka</w:t>
      </w:r>
      <w:r>
        <w:rPr>
          <w:spacing w:val="-4"/>
        </w:rPr>
        <w:t xml:space="preserve"> </w:t>
      </w:r>
      <w:r>
        <w:t>výběrového</w:t>
      </w:r>
      <w:r>
        <w:rPr>
          <w:spacing w:val="-4"/>
        </w:rPr>
        <w:t xml:space="preserve"> </w:t>
      </w:r>
      <w:r>
        <w:rPr>
          <w:spacing w:val="-2"/>
        </w:rPr>
        <w:t>řízení</w:t>
      </w:r>
    </w:p>
    <w:p w14:paraId="3887BE55" w14:textId="77777777" w:rsidR="006C7051" w:rsidRDefault="006C7051"/>
    <w:sectPr w:rsidR="006C7051" w:rsidSect="001438A4">
      <w:pgSz w:w="11910" w:h="16840"/>
      <w:pgMar w:top="360" w:right="11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5B1"/>
    <w:multiLevelType w:val="hybridMultilevel"/>
    <w:tmpl w:val="F766C162"/>
    <w:lvl w:ilvl="0" w:tplc="5BB8367E">
      <w:numFmt w:val="bullet"/>
      <w:lvlText w:val=""/>
      <w:lvlJc w:val="left"/>
      <w:pPr>
        <w:ind w:left="399" w:hanging="284"/>
      </w:pPr>
      <w:rPr>
        <w:rFonts w:ascii="Symbol" w:eastAsia="Symbol" w:hAnsi="Symbol" w:cs="Symbol" w:hint="default"/>
        <w:b w:val="0"/>
        <w:bCs w:val="0"/>
        <w:i w:val="0"/>
        <w:iCs w:val="0"/>
        <w:spacing w:val="0"/>
        <w:w w:val="100"/>
        <w:sz w:val="24"/>
        <w:szCs w:val="24"/>
        <w:lang w:val="cs-CZ" w:eastAsia="en-US" w:bidi="ar-SA"/>
      </w:rPr>
    </w:lvl>
    <w:lvl w:ilvl="1" w:tplc="DBDE7436">
      <w:numFmt w:val="bullet"/>
      <w:lvlText w:val="•"/>
      <w:lvlJc w:val="left"/>
      <w:pPr>
        <w:ind w:left="1304" w:hanging="284"/>
      </w:pPr>
      <w:rPr>
        <w:rFonts w:hint="default"/>
        <w:lang w:val="cs-CZ" w:eastAsia="en-US" w:bidi="ar-SA"/>
      </w:rPr>
    </w:lvl>
    <w:lvl w:ilvl="2" w:tplc="E12858A4">
      <w:numFmt w:val="bullet"/>
      <w:lvlText w:val="•"/>
      <w:lvlJc w:val="left"/>
      <w:pPr>
        <w:ind w:left="2209" w:hanging="284"/>
      </w:pPr>
      <w:rPr>
        <w:rFonts w:hint="default"/>
        <w:lang w:val="cs-CZ" w:eastAsia="en-US" w:bidi="ar-SA"/>
      </w:rPr>
    </w:lvl>
    <w:lvl w:ilvl="3" w:tplc="1D9E8CDE">
      <w:numFmt w:val="bullet"/>
      <w:lvlText w:val="•"/>
      <w:lvlJc w:val="left"/>
      <w:pPr>
        <w:ind w:left="3113" w:hanging="284"/>
      </w:pPr>
      <w:rPr>
        <w:rFonts w:hint="default"/>
        <w:lang w:val="cs-CZ" w:eastAsia="en-US" w:bidi="ar-SA"/>
      </w:rPr>
    </w:lvl>
    <w:lvl w:ilvl="4" w:tplc="BFFCAEE0">
      <w:numFmt w:val="bullet"/>
      <w:lvlText w:val="•"/>
      <w:lvlJc w:val="left"/>
      <w:pPr>
        <w:ind w:left="4018" w:hanging="284"/>
      </w:pPr>
      <w:rPr>
        <w:rFonts w:hint="default"/>
        <w:lang w:val="cs-CZ" w:eastAsia="en-US" w:bidi="ar-SA"/>
      </w:rPr>
    </w:lvl>
    <w:lvl w:ilvl="5" w:tplc="6584D8FE">
      <w:numFmt w:val="bullet"/>
      <w:lvlText w:val="•"/>
      <w:lvlJc w:val="left"/>
      <w:pPr>
        <w:ind w:left="4923" w:hanging="284"/>
      </w:pPr>
      <w:rPr>
        <w:rFonts w:hint="default"/>
        <w:lang w:val="cs-CZ" w:eastAsia="en-US" w:bidi="ar-SA"/>
      </w:rPr>
    </w:lvl>
    <w:lvl w:ilvl="6" w:tplc="11FA10B8">
      <w:numFmt w:val="bullet"/>
      <w:lvlText w:val="•"/>
      <w:lvlJc w:val="left"/>
      <w:pPr>
        <w:ind w:left="5827" w:hanging="284"/>
      </w:pPr>
      <w:rPr>
        <w:rFonts w:hint="default"/>
        <w:lang w:val="cs-CZ" w:eastAsia="en-US" w:bidi="ar-SA"/>
      </w:rPr>
    </w:lvl>
    <w:lvl w:ilvl="7" w:tplc="D2D48C6C">
      <w:numFmt w:val="bullet"/>
      <w:lvlText w:val="•"/>
      <w:lvlJc w:val="left"/>
      <w:pPr>
        <w:ind w:left="6732" w:hanging="284"/>
      </w:pPr>
      <w:rPr>
        <w:rFonts w:hint="default"/>
        <w:lang w:val="cs-CZ" w:eastAsia="en-US" w:bidi="ar-SA"/>
      </w:rPr>
    </w:lvl>
    <w:lvl w:ilvl="8" w:tplc="B336BF7E">
      <w:numFmt w:val="bullet"/>
      <w:lvlText w:val="•"/>
      <w:lvlJc w:val="left"/>
      <w:pPr>
        <w:ind w:left="7637" w:hanging="284"/>
      </w:pPr>
      <w:rPr>
        <w:rFonts w:hint="default"/>
        <w:lang w:val="cs-CZ" w:eastAsia="en-US" w:bidi="ar-SA"/>
      </w:rPr>
    </w:lvl>
  </w:abstractNum>
  <w:abstractNum w:abstractNumId="1" w15:restartNumberingAfterBreak="0">
    <w:nsid w:val="0D791BFD"/>
    <w:multiLevelType w:val="hybridMultilevel"/>
    <w:tmpl w:val="E68896CE"/>
    <w:lvl w:ilvl="0" w:tplc="EE0CC954">
      <w:start w:val="1"/>
      <w:numFmt w:val="lowerLetter"/>
      <w:lvlText w:val="(%1)"/>
      <w:lvlJc w:val="left"/>
      <w:pPr>
        <w:ind w:left="829" w:hanging="351"/>
        <w:jc w:val="left"/>
      </w:pPr>
      <w:rPr>
        <w:rFonts w:ascii="Times New Roman" w:eastAsia="Times New Roman" w:hAnsi="Times New Roman" w:cs="Times New Roman" w:hint="default"/>
        <w:b w:val="0"/>
        <w:bCs w:val="0"/>
        <w:i w:val="0"/>
        <w:iCs w:val="0"/>
        <w:spacing w:val="-2"/>
        <w:w w:val="100"/>
        <w:sz w:val="24"/>
        <w:szCs w:val="24"/>
        <w:lang w:val="cs-CZ" w:eastAsia="en-US" w:bidi="ar-SA"/>
      </w:rPr>
    </w:lvl>
    <w:lvl w:ilvl="1" w:tplc="30766E14">
      <w:numFmt w:val="bullet"/>
      <w:lvlText w:val="-"/>
      <w:lvlJc w:val="left"/>
      <w:pPr>
        <w:ind w:left="1532" w:hanging="720"/>
      </w:pPr>
      <w:rPr>
        <w:rFonts w:ascii="Times New Roman" w:eastAsia="Times New Roman" w:hAnsi="Times New Roman" w:cs="Times New Roman" w:hint="default"/>
        <w:b w:val="0"/>
        <w:bCs w:val="0"/>
        <w:i w:val="0"/>
        <w:iCs w:val="0"/>
        <w:spacing w:val="0"/>
        <w:w w:val="100"/>
        <w:sz w:val="24"/>
        <w:szCs w:val="24"/>
        <w:lang w:val="cs-CZ" w:eastAsia="en-US" w:bidi="ar-SA"/>
      </w:rPr>
    </w:lvl>
    <w:lvl w:ilvl="2" w:tplc="75629E3A">
      <w:numFmt w:val="bullet"/>
      <w:lvlText w:val="•"/>
      <w:lvlJc w:val="left"/>
      <w:pPr>
        <w:ind w:left="2418" w:hanging="720"/>
      </w:pPr>
      <w:rPr>
        <w:rFonts w:hint="default"/>
        <w:lang w:val="cs-CZ" w:eastAsia="en-US" w:bidi="ar-SA"/>
      </w:rPr>
    </w:lvl>
    <w:lvl w:ilvl="3" w:tplc="C2DC0372">
      <w:numFmt w:val="bullet"/>
      <w:lvlText w:val="•"/>
      <w:lvlJc w:val="left"/>
      <w:pPr>
        <w:ind w:left="3296" w:hanging="720"/>
      </w:pPr>
      <w:rPr>
        <w:rFonts w:hint="default"/>
        <w:lang w:val="cs-CZ" w:eastAsia="en-US" w:bidi="ar-SA"/>
      </w:rPr>
    </w:lvl>
    <w:lvl w:ilvl="4" w:tplc="6F00F168">
      <w:numFmt w:val="bullet"/>
      <w:lvlText w:val="•"/>
      <w:lvlJc w:val="left"/>
      <w:pPr>
        <w:ind w:left="4175" w:hanging="720"/>
      </w:pPr>
      <w:rPr>
        <w:rFonts w:hint="default"/>
        <w:lang w:val="cs-CZ" w:eastAsia="en-US" w:bidi="ar-SA"/>
      </w:rPr>
    </w:lvl>
    <w:lvl w:ilvl="5" w:tplc="E8CA161A">
      <w:numFmt w:val="bullet"/>
      <w:lvlText w:val="•"/>
      <w:lvlJc w:val="left"/>
      <w:pPr>
        <w:ind w:left="5053" w:hanging="720"/>
      </w:pPr>
      <w:rPr>
        <w:rFonts w:hint="default"/>
        <w:lang w:val="cs-CZ" w:eastAsia="en-US" w:bidi="ar-SA"/>
      </w:rPr>
    </w:lvl>
    <w:lvl w:ilvl="6" w:tplc="69CC592C">
      <w:numFmt w:val="bullet"/>
      <w:lvlText w:val="•"/>
      <w:lvlJc w:val="left"/>
      <w:pPr>
        <w:ind w:left="5932" w:hanging="720"/>
      </w:pPr>
      <w:rPr>
        <w:rFonts w:hint="default"/>
        <w:lang w:val="cs-CZ" w:eastAsia="en-US" w:bidi="ar-SA"/>
      </w:rPr>
    </w:lvl>
    <w:lvl w:ilvl="7" w:tplc="83C47B9A">
      <w:numFmt w:val="bullet"/>
      <w:lvlText w:val="•"/>
      <w:lvlJc w:val="left"/>
      <w:pPr>
        <w:ind w:left="6810" w:hanging="720"/>
      </w:pPr>
      <w:rPr>
        <w:rFonts w:hint="default"/>
        <w:lang w:val="cs-CZ" w:eastAsia="en-US" w:bidi="ar-SA"/>
      </w:rPr>
    </w:lvl>
    <w:lvl w:ilvl="8" w:tplc="3D16FFD8">
      <w:numFmt w:val="bullet"/>
      <w:lvlText w:val="•"/>
      <w:lvlJc w:val="left"/>
      <w:pPr>
        <w:ind w:left="7689" w:hanging="720"/>
      </w:pPr>
      <w:rPr>
        <w:rFonts w:hint="default"/>
        <w:lang w:val="cs-CZ" w:eastAsia="en-US" w:bidi="ar-SA"/>
      </w:rPr>
    </w:lvl>
  </w:abstractNum>
  <w:num w:numId="1" w16cid:durableId="1945460960">
    <w:abstractNumId w:val="1"/>
  </w:num>
  <w:num w:numId="2" w16cid:durableId="82971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A4"/>
    <w:rsid w:val="001438A4"/>
    <w:rsid w:val="001854EE"/>
    <w:rsid w:val="003D4A3D"/>
    <w:rsid w:val="00655541"/>
    <w:rsid w:val="006C7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8CD1"/>
  <w15:chartTrackingRefBased/>
  <w15:docId w15:val="{85305718-C62F-4D8B-B3AC-ED01D4D3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8A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dpis1">
    <w:name w:val="heading 1"/>
    <w:basedOn w:val="Normln"/>
    <w:next w:val="Normln"/>
    <w:link w:val="Nadpis1Char"/>
    <w:uiPriority w:val="9"/>
    <w:qFormat/>
    <w:rsid w:val="00143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3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38A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38A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438A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438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38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38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38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38A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38A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38A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38A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438A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438A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38A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38A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38A4"/>
    <w:rPr>
      <w:rFonts w:eastAsiaTheme="majorEastAsia" w:cstheme="majorBidi"/>
      <w:color w:val="272727" w:themeColor="text1" w:themeTint="D8"/>
    </w:rPr>
  </w:style>
  <w:style w:type="paragraph" w:styleId="Nzev">
    <w:name w:val="Title"/>
    <w:basedOn w:val="Normln"/>
    <w:next w:val="Normln"/>
    <w:link w:val="NzevChar"/>
    <w:uiPriority w:val="10"/>
    <w:qFormat/>
    <w:rsid w:val="001438A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38A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38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38A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38A4"/>
    <w:pPr>
      <w:spacing w:before="160"/>
      <w:jc w:val="center"/>
    </w:pPr>
    <w:rPr>
      <w:i/>
      <w:iCs/>
      <w:color w:val="404040" w:themeColor="text1" w:themeTint="BF"/>
    </w:rPr>
  </w:style>
  <w:style w:type="character" w:customStyle="1" w:styleId="CittChar">
    <w:name w:val="Citát Char"/>
    <w:basedOn w:val="Standardnpsmoodstavce"/>
    <w:link w:val="Citt"/>
    <w:uiPriority w:val="29"/>
    <w:rsid w:val="001438A4"/>
    <w:rPr>
      <w:i/>
      <w:iCs/>
      <w:color w:val="404040" w:themeColor="text1" w:themeTint="BF"/>
    </w:rPr>
  </w:style>
  <w:style w:type="paragraph" w:styleId="Odstavecseseznamem">
    <w:name w:val="List Paragraph"/>
    <w:basedOn w:val="Normln"/>
    <w:uiPriority w:val="1"/>
    <w:qFormat/>
    <w:rsid w:val="001438A4"/>
    <w:pPr>
      <w:ind w:left="720"/>
      <w:contextualSpacing/>
    </w:pPr>
  </w:style>
  <w:style w:type="character" w:styleId="Zdraznnintenzivn">
    <w:name w:val="Intense Emphasis"/>
    <w:basedOn w:val="Standardnpsmoodstavce"/>
    <w:uiPriority w:val="21"/>
    <w:qFormat/>
    <w:rsid w:val="001438A4"/>
    <w:rPr>
      <w:i/>
      <w:iCs/>
      <w:color w:val="0F4761" w:themeColor="accent1" w:themeShade="BF"/>
    </w:rPr>
  </w:style>
  <w:style w:type="paragraph" w:styleId="Vrazncitt">
    <w:name w:val="Intense Quote"/>
    <w:basedOn w:val="Normln"/>
    <w:next w:val="Normln"/>
    <w:link w:val="VrazncittChar"/>
    <w:uiPriority w:val="30"/>
    <w:qFormat/>
    <w:rsid w:val="00143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38A4"/>
    <w:rPr>
      <w:i/>
      <w:iCs/>
      <w:color w:val="0F4761" w:themeColor="accent1" w:themeShade="BF"/>
    </w:rPr>
  </w:style>
  <w:style w:type="character" w:styleId="Odkazintenzivn">
    <w:name w:val="Intense Reference"/>
    <w:basedOn w:val="Standardnpsmoodstavce"/>
    <w:uiPriority w:val="32"/>
    <w:qFormat/>
    <w:rsid w:val="001438A4"/>
    <w:rPr>
      <w:b/>
      <w:bCs/>
      <w:smallCaps/>
      <w:color w:val="0F4761" w:themeColor="accent1" w:themeShade="BF"/>
      <w:spacing w:val="5"/>
    </w:rPr>
  </w:style>
  <w:style w:type="paragraph" w:styleId="Zkladntext">
    <w:name w:val="Body Text"/>
    <w:basedOn w:val="Normln"/>
    <w:link w:val="ZkladntextChar"/>
    <w:uiPriority w:val="1"/>
    <w:qFormat/>
    <w:rsid w:val="001438A4"/>
    <w:rPr>
      <w:sz w:val="24"/>
      <w:szCs w:val="24"/>
    </w:rPr>
  </w:style>
  <w:style w:type="character" w:customStyle="1" w:styleId="ZkladntextChar">
    <w:name w:val="Základní text Char"/>
    <w:basedOn w:val="Standardnpsmoodstavce"/>
    <w:link w:val="Zkladntext"/>
    <w:uiPriority w:val="1"/>
    <w:rsid w:val="001438A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2013</Characters>
  <Application>Microsoft Office Word</Application>
  <DocSecurity>0</DocSecurity>
  <Lines>54</Lines>
  <Paragraphs>30</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Matějů</dc:creator>
  <cp:keywords/>
  <dc:description/>
  <cp:lastModifiedBy>Ing. Bc. Iveta Matějů</cp:lastModifiedBy>
  <cp:revision>2</cp:revision>
  <dcterms:created xsi:type="dcterms:W3CDTF">2025-02-28T07:32:00Z</dcterms:created>
  <dcterms:modified xsi:type="dcterms:W3CDTF">2026-03-20T08:01:00Z</dcterms:modified>
</cp:coreProperties>
</file>